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36.xml" ContentType="application/vnd.openxmlformats-officedocument.wordprocessingml.footer+xml"/>
  <Override PartName="/word/footer63.xml" ContentType="application/vnd.openxmlformats-officedocument.wordprocessingml.footer+xml"/>
</Types>
</file>

<file path=_rels/.rels><?xml version="1.0" encoding="UTF-8" standalone="yes"?>
<Relationships
    xmlns="http://schemas.openxmlformats.org/package/2006/relationships">
  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pPr>
        <w:jc w:val="center"/>
        <w:spacing w:before="800" w:after="200"/>
      </w:pPr>
      <w:r>
        <w:rPr>
          <w:sz w:val="44"/>
        </w:rPr>
        <w:t>PumasCP Validation Reports</w:t>
      </w:r>
    </w:p>
    <w:p>
      <w:pPr>
        <w:jc w:val="center"/>
      </w:pPr>
      <w:r>
        <w:rPr/>
        <w:t>Sponsor: Sponsor Name</w:t>
      </w:r>
    </w:p>
    <w:p>
      <w:pPr/>
    </w:p>
    <w:p>
      <w:pPr>
        <w:jc w:val="center"/>
        <w:spacing w:after="60"/>
      </w:pPr>
      <w:r>
        <w:rPr/>
        <w:t>Author Name</w:t>
      </w:r>
      <w:r>
        <w:rPr>
          <w:vertAlign w:val="superscript"/>
        </w:rPr>
        <w:t>1</w:t>
      </w:r>
      <w:r>
        <w:rPr/>
        <w:t xml:space="preserve"> and </w:t>
      </w:r>
      <w:r>
        <w:rPr/>
        <w:t>Author Name</w:t>
      </w:r>
      <w:r>
        <w:rPr>
          <w:vertAlign w:val="superscript"/>
        </w:rPr>
        <w:t>1</w:t>
      </w:r>
    </w:p>
    <w:p>
      <w:pPr>
        <w:jc w:val="center"/>
      </w:pPr>
      <w:r>
        <w:rPr>
          <w:vertAlign w:val="superscript"/>
        </w:rPr>
        <w:t>1</w:t>
      </w:r>
      <w:r>
        <w:rPr/>
        <w:t>Organization Name</w:t>
      </w:r>
    </w:p>
    <w:p>
      <w:pPr/>
    </w:p>
    <w:p>
      <w:pPr>
        <w:jc w:val="center"/>
      </w:pPr>
      <w:r>
        <w:rPr/>
        <w:t>March 12, 2026</w:t>
      </w:r>
    </w:p>
    <w:p>
      <w:pPr>
        <w:sectPr>
          <w:pgSz w:h="11906" w:w="16838" w:orient="landscape"/>
          <w:footerReference r:id="rId2" w:type="default"/>
        </w:sectPr>
      </w:pPr>
    </w:p>
    <w:p>
      <w:pPr>
        <w:pStyle w:val="TOCHeading"/>
      </w:pPr>
      <w:r>
        <w:rPr/>
        <w:t>Contents</w:t>
      </w:r>
    </w:p>
    <w:p>
      <w:pPr/>
      <w:r>
        <w:fldChar w:fldCharType="begin" w:dirty="true"/>
      </w:r>
      <w:r>
        <w:instrText xml:space="preserve"> TOC \o "1-3" \h \z \u </w:instrText>
      </w:r>
      <w:r>
        <w:fldChar w:fldCharType="separate"/>
      </w:r>
      <w:r>
        <w:fldChar w:fldCharType="end"/>
      </w:r>
    </w:p>
    <w:p>
      <w:pPr>
        <w:pStyle w:val="Heading1"/>
      </w:pPr>
      <w:r>
        <w:rPr/>
        <w:t>List of Figures</w:t>
      </w:r>
    </w:p>
    <w:p>
      <w:pPr/>
      <w:r>
        <w:fldChar w:fldCharType="begin" w:dirty="true"/>
      </w:r>
      <w:r>
        <w:instrText xml:space="preserve"> TOC \h \z \t "Figure Caption,1" </w:instrText>
      </w:r>
      <w:r>
        <w:fldChar w:fldCharType="separate"/>
      </w:r>
      <w:r>
        <w:fldChar w:fldCharType="end"/>
      </w:r>
    </w:p>
    <w:p>
      <w:pPr>
        <w:pStyle w:val="Heading1"/>
      </w:pPr>
      <w:r>
        <w:rPr/>
        <w:t>List of Tables</w:t>
      </w:r>
    </w:p>
    <w:p>
      <w:pPr/>
      <w:r>
        <w:fldChar w:fldCharType="begin" w:dirty="true"/>
      </w:r>
      <w:r>
        <w:instrText xml:space="preserve"> TOC \h \z \t "Table Caption,1" </w:instrText>
      </w:r>
      <w:r>
        <w:fldChar w:fldCharType="separate"/>
      </w:r>
      <w:r>
        <w:fldChar w:fldCharType="end"/>
      </w:r>
    </w:p>
    <w:p>
      <w:pPr>
        <w:sectPr>
          <w:pgSz w:h="11906" w:w="16838" w:orient="landscape"/>
          <w:footerReference r:id="rId3" w:type="default"/>
        </w:sectPr>
      </w:pPr>
    </w:p>
    <w:p>
      <w:pPr>
        <w:pStyle w:val="Heading1"/>
      </w:pPr>
      <w:r>
        <w:rPr/>
        <w:t>Task: NCA + BE</w:t>
      </w:r>
    </w:p>
    <w:p>
      <w:pPr>
        <w:pStyle w:val="Heading2"/>
      </w:pPr>
      <w:r>
        <w:rPr/>
        <w:t>Input plots</w:t>
      </w:r>
    </w:p>
    <w:p>
      <w:pPr>
        <w:jc w:val="center"/>
        <w:keepNext/>
      </w:pPr>
      <w:r>
        <w:rPr/>
        <w:drawing>
          <wp:inline>
            <wp:extent cx="4621484" cy="504000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48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Summary Observations vs. Time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31511" cy="50400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1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(1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96334" cy="504000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33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(2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31511" cy="504000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1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(3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96334" cy="504000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33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(4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019675" cy="412432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(5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784047" cy="504000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(1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784047" cy="504000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(2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784047" cy="504000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(3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784047" cy="504000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4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(4 of 5)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7067550" cy="450532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(5 of 5)</w:t>
      </w:r>
    </w:p>
    <w:p>
      <w:pPr/>
      <w:r>
        <w:rPr/>
        <w:br w:type="page"/>
      </w:r>
    </w:p>
    <w:p>
      <w:pPr>
        <w:pStyle w:val="Heading2"/>
      </w:pPr>
      <w:r>
        <w:rPr/>
        <w:t>Input tables</w:t>
      </w:r>
    </w:p>
    <w:p>
      <w:pPr>
        <w:pStyle w:val="TableCaption"/>
        <w:jc w:val="center"/>
      </w:pPr>
      <w:r>
        <w:rPr/>
        <w:t>Listing of concentrations at nominal time points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3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4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time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240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sequence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period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id</w:t>
            </w:r>
          </w:p>
        </w:tc>
        <w:tc>
          <w:tcPr>
            <w:gridSpan w:val="34"/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concentration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7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1275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2299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4364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7495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6313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6696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5277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2476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1221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555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365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274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99.7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1679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3436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7546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8161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12401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10723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9176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5204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2632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1496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398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329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359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986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2373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3415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4733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6412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6573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7103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3391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1868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986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759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591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279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264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217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166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11051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1874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3122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5658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6392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6380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7800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4285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1073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567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395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372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4939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8293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8976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11051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12288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9358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4643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1073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703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372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1378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2589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4837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6020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5940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8936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7678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4652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2519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1513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1108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664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351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302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263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217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1899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11194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384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1206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2327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4212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5992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6471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6513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4764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2581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1317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370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175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1941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4079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6704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8343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9098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10323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11194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4652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2519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1524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1108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384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1139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2281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4194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6032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5659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6536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5481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3114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1944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1157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647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287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264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228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8506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7166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5971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113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822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2299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3570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5139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4690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7889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7345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3907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3127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2062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1660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1148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605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507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388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8506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37"/>
            <w:hideMark/>
          </w:tcPr>
          <w:p>
            <w:pPr/>
          </w:p>
        </w:tc>
      </w:tr>
      <w:tr>
        <w:trPr/>
        <w:tc>
          <w:tcPr>
            <w:gridSpan w:val="37"/>
          </w:tcPr>
          <w:p>
            <w:pPr/>
            <w:r>
              <w:rPr>
                <w:sz w:val="16"/>
              </w:rPr>
              <w:t>- No value</w:t>
            </w:r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Per-subject data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6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4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sequence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gridSpan w:val="2"/>
            <w:tcMar/>
            <w:vAlign w:val="top"/>
          </w:tcPr>
          <w:p>
            <w:pPr>
              <w:jc w:val="center"/>
            </w:pPr>
            <w:r>
              <w:rPr/>
              <w:t>RT</w:t>
            </w:r>
          </w:p>
        </w:tc>
        <w:tc>
          <w:tcPr>
            <w:gridSpan w:val="2"/>
            <w:tcMar/>
            <w:vAlign w:val="top"/>
          </w:tcPr>
          <w:p>
            <w:pPr>
              <w:jc w:val="center"/>
            </w:pPr>
            <w:r>
              <w:rPr/>
              <w:t>TR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2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period</w:t>
            </w: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2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period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6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amt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Mean (SD)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Median [Min, Max]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</w:t>
            </w:r>
            <w:r>
              <w:rPr/>
              <w:t xml:space="preserve"> 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100</w:t>
            </w:r>
            <w:r>
              <w:rPr/>
              <w:t>]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oral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route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ev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6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Summary of concentrations at nominal time points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3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4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time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240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sequence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period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gridSpan w:val="34"/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concentration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7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11194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384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11051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8506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37"/>
            <w:hideMark/>
          </w:tcPr>
          <w:p>
            <w:pPr/>
          </w:p>
        </w:tc>
      </w:tr>
      <w:tr>
        <w:trPr/>
        <w:tc>
          <w:tcPr>
            <w:gridSpan w:val="37"/>
          </w:tcPr>
          <w:p>
            <w:pPr/>
            <w:r>
              <w:rPr>
                <w:sz w:val="16"/>
              </w:rPr>
              <w:t>- No value</w:t>
            </w:r>
          </w:p>
        </w:tc>
      </w:tr>
    </w:tbl>
    <w:p>
      <w:pPr/>
      <w:r>
        <w:rPr/>
        <w:br w:type="page"/>
      </w:r>
    </w:p>
    <w:p>
      <w:pPr>
        <w:pStyle w:val="Heading2"/>
      </w:pPr>
      <w:r>
        <w:rPr/>
        <w:t>Output plots</w:t>
      </w:r>
    </w:p>
    <w:p>
      <w:pPr>
        <w:jc w:val="center"/>
        <w:keepNext/>
      </w:pPr>
      <w:r>
        <w:rPr/>
        <w:drawing>
          <wp:inline>
            <wp:extent cx="4800600" cy="261937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half_life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4762500" cy="261937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8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tmax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114925" cy="261937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cmax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114925" cy="261937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auclast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038725" cy="261937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aucinf_obs vs. group</w:t>
      </w:r>
    </w:p>
    <w:p>
      <w:pPr/>
      <w:r>
        <w:rPr/>
        <w:br w:type="page"/>
      </w:r>
    </w:p>
    <w:p>
      <w:pPr>
        <w:pStyle w:val="Heading2"/>
      </w:pPr>
      <w:r>
        <w:rPr/>
        <w:t>Output tables</w:t>
      </w:r>
    </w:p>
    <w:p>
      <w:pPr>
        <w:pStyle w:val="TableCaption"/>
        <w:jc w:val="center"/>
      </w:pPr>
      <w:r>
        <w:rPr/>
        <w:t>BE GLM auclast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Coef.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Std. Error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Pr(&gt;|t|)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(Intercept)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792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&lt;1e-41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0.0728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-0.00277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0.0569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formulation: 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-0.0138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-0.971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0.3443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-0.0437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0.0161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period: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0.0209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1.47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0.1582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-0.00893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0.0508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0.184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6.1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0.121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0.247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-1.05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0.3063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-0.0951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0.0316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-0.00567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-0.188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0.8530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0.0577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0.374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12.4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0.311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0.438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-0.186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-6.16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-0.249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-0.122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-0.223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-7.4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-0.286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-0.097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0.0048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-0.0337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-0.261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-8.67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-0.325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-0.328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-10.9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-0.265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0.0263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0.872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0.3946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0.0896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0.192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6.38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0.129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0.256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0.282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9.35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0.219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0.345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-4.38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-0.0688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-6.84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-0.143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0.425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14.1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0.361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0.488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-0.259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-8.58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-9.18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-0.213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0.328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10.9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0.264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0.391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Result cmax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Paradigm: Non replicated crossover design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Model: Linear model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Criteria: Standard ABE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Endpoint: cmax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Formulations: Reference(R), Test(T)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Results(cmax)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Assessment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R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7600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7600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T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7325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7325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Mean T/R Ratio (%)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96.38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Degrees of Freedom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90% Confidence Interval (%)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[</w:t>
            </w:r>
            <w:r>
              <w:rPr/>
              <w:t>92.74</w:t>
            </w:r>
            <w:r>
              <w:rPr/>
              <w:t xml:space="preserve">, </w:t>
            </w:r>
            <w:r>
              <w:rPr/>
              <w:t>100.2</w:t>
            </w:r>
            <w:r>
              <w:rPr/>
              <w:t>]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Pass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CI ⊆ [80, 125]</w:t>
            </w:r>
          </w:p>
        </w:tc>
      </w:tr>
      <w:tr>
        <w:trPr/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Variability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CV (%) | σ̂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7.03 | 0.0702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ANOVA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Formulation (p-value)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0.1142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Sequence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0.364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Period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0.02154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NCA parameter listing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8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Parameter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sequence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period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id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tmax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cmax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auclast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half_life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aucinf_obs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8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92935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103775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94828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106139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76207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81593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64092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68455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73547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86616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55663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60543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96715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108778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69962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118583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140016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7495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59525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67214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77812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86372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47.4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27.4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8936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102763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57.5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124605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92896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99925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83357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65647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69662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94259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56854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60643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92616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115649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69215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73805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11194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146460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6513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58903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64052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78369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89531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70.2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30.5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7103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80647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35.6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89156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80231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88563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117816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135210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60652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66406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61675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65806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12288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87459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100922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116926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60164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63073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60700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66300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7800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108855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207104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2.14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78853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91541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23.2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26.2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63.2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6536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75316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94.3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105902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75301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88968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115553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138305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67950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73955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61886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65318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11846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83529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107866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112090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127856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7166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70839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86115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63201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71929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7889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113850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19.8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124907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81639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96098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26.8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8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Result auclast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Paradigm: Non replicated crossover design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Model: Linear model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Criteria: Standard ABE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Endpoint: auclast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Formulations: Reference(R), Test(T)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Results(auclast)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Assessment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R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79703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79703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T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78610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78610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Mean T/R Ratio (%)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98.63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Degrees of Freedom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90% Confidence Interval (%)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[</w:t>
            </w:r>
            <w:r>
              <w:rPr/>
              <w:t>96.23</w:t>
            </w:r>
            <w:r>
              <w:rPr/>
              <w:t xml:space="preserve">, </w:t>
            </w:r>
            <w:r>
              <w:rPr/>
              <w:t>101.1</w:t>
            </w:r>
            <w:r>
              <w:rPr/>
              <w:t>]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Pass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CI ⊆ [80, 125]</w:t>
            </w:r>
          </w:p>
        </w:tc>
      </w:tr>
      <w:tr>
        <w:trPr/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Variability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CV (%) | σ̂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4.5 | 0.0449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ANOVA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Formulation (p-value)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0.3443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Sequence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0.07279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Period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0.1582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NCA parameter summary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8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Parameter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sequence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period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tmax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cmax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auclast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half_life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aucinf_obs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8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RT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1.58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77812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86372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78369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89531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30.5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TR</w:t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2.14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78853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91541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1.94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81639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96098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26.8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8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GLM cmax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Coef.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Std. Error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Pr(&gt;|t|)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(Intercept)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8.95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403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&lt;1e-36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8.91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0.931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0.3640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-0.026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0.0673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formulation: 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-1.66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0.1141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-0.0835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0.00978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period: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-0.0559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0.0222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-2.52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0.0215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-0.00924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0.121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2.56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0.0197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-5.84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-0.374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-0.176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-4.11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-0.293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-0.0949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4.2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0.0987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0.297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-0.344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-7.29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-0.245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2.86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0.0104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0.0357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0.234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0.0081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0.0412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0.239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-0.374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-7.93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-0.473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0.0094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-0.236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-0.0379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9.98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0.569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4.54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0.115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0.313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0.116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2.46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0.0168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0.215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-0.372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-7.89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-0.273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-0.111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-2.37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-0.0125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0.467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9.92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0.368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0.566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-0.0968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0.0546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0.00214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-0.0553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-1.17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0.2559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-0.154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0.0437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0.844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0.4095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-0.0592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0.139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Result tmax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Paradigm: Nonparametric analysis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Model: Signed rank test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Criteria: Standard ABE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Endpoint: tmax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Formulations: Reference(R), Test(T)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Results(tmax)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Assessment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90% Confidence Interval (%)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[</w:t>
            </w:r>
            <w:r>
              <w:rPr/>
              <w:t>100</w:t>
            </w:r>
            <w:r>
              <w:rPr/>
              <w:t xml:space="preserve">, </w:t>
            </w:r>
            <w:r>
              <w:rPr/>
              <w:t>141.5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Fail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CI ⊆ [80, 125]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GLM aucinf_obs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Coef.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Std. Error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Pr(&gt;|t|)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(Intercept)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0.0362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0.0645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0.0362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1.78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0.0921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-0.0117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0.141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formulation: 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-0.00633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0.0362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-0.175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0.8632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-0.0824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0.0698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period: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0.0423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0.0362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0.2587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-0.0339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0.118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0.158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0.0547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-0.00351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0.319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-0.0551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-0.717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0.4827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0.106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-0.0642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-0.835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0.4146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-0.226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0.0973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0.377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4.91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0.216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0.539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-0.242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0.0056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-0.0802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-0.291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-3.79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0.0013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-0.453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0.0271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0.353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0.7281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0.189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-0.358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-4.66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-0.52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-0.197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-0.372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-4.85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-0.534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-0.211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0.035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0.455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0.6547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-0.127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0.196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3.17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0.0053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0.0818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0.405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0.265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3.45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0.0029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0.104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0.427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-0.202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-2.63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0.0171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-0.363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-0.0405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-0.241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-3.14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0.0057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-0.403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-0.0796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0.488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6.34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0.326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0.649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-0.306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-3.98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0.0009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-0.468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-0.145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RT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-0.293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-3.81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0.0013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-0.454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-0.131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sequence: TR &amp; id_within_sequence: 10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0.539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0.0769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7.02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&lt;1e-05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0.378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0.701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BE Result aucinf_obs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Paradigm: Non replicated crossover design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Model: Linear model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Criteria: Standard ABE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Endpoint: aucinf_obs</w:t>
            </w:r>
          </w:p>
        </w:tc>
      </w:tr>
      <w:tr>
        <w:trPr>
          <w:tblHeader/>
        </w:trPr>
        <w:tc>
          <w:tcPr>
            <w:gridSpan w:val="5"/>
            <w:tcMar/>
            <w:vAlign w:val="top"/>
          </w:tcPr>
          <w:p>
            <w:pPr>
              <w:jc w:val="start"/>
            </w:pPr>
            <w:r>
              <w:rPr>
                <w:b/>
              </w:rPr>
              <w:t>Formulations: Reference(R), Test(T)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Results(aucinf_obs)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Assessment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Criteria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R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91105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91105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T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Geometric Marginal Mean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90530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Naive Mean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90530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Geometric Mean T/R Ratio (%)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99.37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Degrees of Freedom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90% Confidence Interval (%)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[</w:t>
            </w:r>
            <w:r>
              <w:rPr/>
              <w:t>93.32</w:t>
            </w:r>
            <w:r>
              <w:rPr/>
              <w:t xml:space="preserve">, </w:t>
            </w:r>
            <w:r>
              <w:rPr/>
              <w:t>105.8</w:t>
            </w:r>
            <w:r>
              <w:rPr/>
              <w:t>]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Pass</w:t>
            </w:r>
          </w:p>
        </w:tc>
        <w:tc>
          <w:tcPr>
            <w:tcMar>
              <w:bottom w:w="80"/>
            </w:tcMar>
            <w:vAlign w:val="top"/>
          </w:tcPr>
          <w:p>
            <w:pPr>
              <w:jc w:val="start"/>
            </w:pPr>
            <w:r>
              <w:rPr/>
              <w:t>CI ⊆ [80, 125]</w:t>
            </w:r>
          </w:p>
        </w:tc>
      </w:tr>
      <w:tr>
        <w:trPr/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Variability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CV (%) | σ̂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>11.49 | 0.1146</w:t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  <w:bottom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ANOVA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Formulation (p-value)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>0.8632</w:t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top w:w="8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Sequence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0.09213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Period (p-value)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0.2587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>
        <w:sectPr>
          <w:pgSz w:h="11906" w:w="16838" w:orient="landscape"/>
          <w:footerReference r:id="rId36" w:type="default"/>
        </w:sectPr>
      </w:pPr>
    </w:p>
    <w:p>
      <w:pPr>
        <w:pStyle w:val="Heading1"/>
      </w:pPr>
      <w:r>
        <w:rPr/>
        <w:t>Task: NCA + DP</w:t>
      </w:r>
    </w:p>
    <w:p>
      <w:pPr>
        <w:pStyle w:val="Heading2"/>
      </w:pPr>
      <w:r>
        <w:rPr/>
        <w:t>Input plots</w:t>
      </w:r>
    </w:p>
    <w:p>
      <w:pPr>
        <w:jc w:val="center"/>
        <w:keepNext/>
      </w:pPr>
      <w:r>
        <w:rPr/>
        <w:drawing>
          <wp:inline>
            <wp:extent cx="4657215" cy="504000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215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Summary Observations vs. Time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31511" cy="504000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9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1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(1 of 2)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631511" cy="50400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1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1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Observations vs. Time (2 of 2)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148504" cy="504000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3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5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(1 of 2)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148504" cy="504000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5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5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Subject Fits (2 of 2)</w:t>
      </w:r>
    </w:p>
    <w:p>
      <w:pPr/>
      <w:r>
        <w:rPr/>
        <w:br w:type="page"/>
      </w:r>
    </w:p>
    <w:p>
      <w:pPr>
        <w:pStyle w:val="Heading2"/>
      </w:pPr>
      <w:r>
        <w:rPr/>
        <w:t>Input tables</w:t>
      </w:r>
    </w:p>
    <w:p>
      <w:pPr>
        <w:pStyle w:val="TableCaption"/>
        <w:jc w:val="center"/>
      </w:pPr>
      <w:r>
        <w:rPr/>
        <w:t>Listing of concentrations at nominal time points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18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16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time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doselevel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id</w:t>
            </w:r>
          </w:p>
        </w:tc>
        <w:tc>
          <w:tcPr>
            <w:gridSpan w:val="16"/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dv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18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17.9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24.5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43.3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75.9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171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146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87.5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47.3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27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17.9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375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676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869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883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572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452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339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179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93.7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61.9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43.3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60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403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621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784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579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350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328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279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179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72.6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66.1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45.4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58.2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58.6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279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268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201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152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70.2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403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621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784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681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387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340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90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90.8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146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238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344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518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597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546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497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410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415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292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326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253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226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205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253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1271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1078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420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582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611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354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234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245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62.3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52.4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52.4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18"/>
            <w:hideMark/>
          </w:tcPr>
          <w:p>
            <w:pPr/>
          </w:p>
        </w:tc>
      </w:tr>
      <w:tr>
        <w:trPr/>
        <w:tc>
          <w:tcPr>
            <w:gridSpan w:val="18"/>
          </w:tcPr>
          <w:p>
            <w:pPr/>
            <w:r>
              <w:rPr>
                <w:sz w:val="16"/>
              </w:rPr>
              <w:t>- No value</w:t>
            </w:r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Summary of concentrations at nominal time points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18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16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time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0.75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doselevel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gridSpan w:val="16"/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dv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18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84.5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30.8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17.9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93.7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43.3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70.2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285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90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428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737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874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719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196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79.8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65.8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Minimum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52.4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Maximum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-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1041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1584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1573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1346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929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868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18"/>
            <w:hideMark/>
          </w:tcPr>
          <w:p>
            <w:pPr/>
          </w:p>
        </w:tc>
      </w:tr>
      <w:tr>
        <w:trPr/>
        <w:tc>
          <w:tcPr>
            <w:gridSpan w:val="18"/>
          </w:tcPr>
          <w:p>
            <w:pPr/>
            <w:r>
              <w:rPr>
                <w:sz w:val="16"/>
              </w:rPr>
              <w:t>- No value</w:t>
            </w:r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Per-subject data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3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doselevel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rate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Mean (SD)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Median [Min, Max]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[</w:t>
            </w:r>
            <w:r>
              <w:rPr/>
              <w:t>0</w:t>
            </w:r>
            <w:r>
              <w:rPr/>
              <w:t xml:space="preserve">, </w:t>
            </w:r>
            <w:r>
              <w:rPr/>
              <w:t>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[</w:t>
            </w:r>
            <w:r>
              <w:rPr/>
              <w:t>0</w:t>
            </w:r>
            <w:r>
              <w:rPr/>
              <w:t xml:space="preserve">, </w:t>
            </w:r>
            <w:r>
              <w:rPr/>
              <w:t>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[</w:t>
            </w:r>
            <w:r>
              <w:rPr/>
              <w:t>0</w:t>
            </w:r>
            <w:r>
              <w:rPr/>
              <w:t xml:space="preserve">, </w:t>
            </w:r>
            <w:r>
              <w:rPr/>
              <w:t>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[</w:t>
            </w:r>
            <w:r>
              <w:rPr/>
              <w:t>0</w:t>
            </w:r>
            <w:r>
              <w:rPr/>
              <w:t xml:space="preserve">, </w:t>
            </w:r>
            <w:r>
              <w:rPr/>
              <w:t>0</w:t>
            </w:r>
            <w:r>
              <w:rPr/>
              <w:t>]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age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Mean (SD)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36.6</w:t>
            </w:r>
            <w:r>
              <w:rPr/>
              <w:t xml:space="preserve"> (</w:t>
            </w:r>
            <w:r>
              <w:rPr/>
              <w:t>13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</w:t>
            </w:r>
            <w:r>
              <w:rPr/>
              <w:t xml:space="preserve"> (</w:t>
            </w:r>
            <w:r>
              <w:rPr/>
              <w:t>13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38.5</w:t>
            </w:r>
            <w:r>
              <w:rPr/>
              <w:t xml:space="preserve"> (</w:t>
            </w:r>
            <w:r>
              <w:rPr/>
              <w:t>14.9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34.3</w:t>
            </w:r>
            <w:r>
              <w:rPr/>
              <w:t xml:space="preserve"> (</w:t>
            </w:r>
            <w:r>
              <w:rPr/>
              <w:t>13.1</w:t>
            </w:r>
            <w:r>
              <w:rPr/>
              <w:t>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Median [Min, Max]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37.5</w:t>
            </w:r>
            <w:r>
              <w:rPr/>
              <w:t xml:space="preserve"> [</w:t>
            </w:r>
            <w:r>
              <w:rPr/>
              <w:t>20</w:t>
            </w:r>
            <w:r>
              <w:rPr/>
              <w:t xml:space="preserve">, </w:t>
            </w:r>
            <w:r>
              <w:rPr/>
              <w:t>55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35.5</w:t>
            </w:r>
            <w:r>
              <w:rPr/>
              <w:t xml:space="preserve"> [</w:t>
            </w:r>
            <w:r>
              <w:rPr/>
              <w:t>24</w:t>
            </w:r>
            <w:r>
              <w:rPr/>
              <w:t xml:space="preserve">, </w:t>
            </w:r>
            <w:r>
              <w:rPr/>
              <w:t>52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40</w:t>
            </w:r>
            <w:r>
              <w:rPr/>
              <w:t xml:space="preserve"> [</w:t>
            </w:r>
            <w:r>
              <w:rPr/>
              <w:t>20</w:t>
            </w:r>
            <w:r>
              <w:rPr/>
              <w:t xml:space="preserve">, </w:t>
            </w:r>
            <w:r>
              <w:rPr/>
              <w:t>55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34</w:t>
            </w:r>
            <w:r>
              <w:rPr/>
              <w:t xml:space="preserve"> [</w:t>
            </w:r>
            <w:r>
              <w:rPr/>
              <w:t>21</w:t>
            </w:r>
            <w:r>
              <w:rPr/>
              <w:t xml:space="preserve">, </w:t>
            </w:r>
            <w:r>
              <w:rPr/>
              <w:t>49</w:t>
            </w:r>
            <w:r>
              <w:rPr/>
              <w:t>]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wt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Mean (SD)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80.2</w:t>
            </w:r>
            <w:r>
              <w:rPr/>
              <w:t xml:space="preserve"> (</w:t>
            </w:r>
            <w:r>
              <w:rPr/>
              <w:t>29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</w:t>
            </w:r>
            <w:r>
              <w:rPr/>
              <w:t xml:space="preserve"> (</w:t>
            </w:r>
            <w:r>
              <w:rPr/>
              <w:t>29.1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90</w:t>
            </w:r>
            <w:r>
              <w:rPr/>
              <w:t xml:space="preserve"> (</w:t>
            </w:r>
            <w:r>
              <w:rPr/>
              <w:t>25.3</w:t>
            </w:r>
            <w:r>
              <w:rPr/>
              <w:t>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81.5</w:t>
            </w:r>
            <w:r>
              <w:rPr/>
              <w:t xml:space="preserve"> (</w:t>
            </w:r>
            <w:r>
              <w:rPr/>
              <w:t>33.4</w:t>
            </w:r>
            <w:r>
              <w:rPr/>
              <w:t>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Median [Min, Max]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72</w:t>
            </w:r>
            <w:r>
              <w:rPr/>
              <w:t xml:space="preserve"> [</w:t>
            </w:r>
            <w:r>
              <w:rPr/>
              <w:t>30</w:t>
            </w:r>
            <w:r>
              <w:rPr/>
              <w:t xml:space="preserve">, </w:t>
            </w:r>
            <w:r>
              <w:rPr/>
              <w:t>120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67.5</w:t>
            </w:r>
            <w:r>
              <w:rPr/>
              <w:t xml:space="preserve"> [</w:t>
            </w:r>
            <w:r>
              <w:rPr/>
              <w:t>30</w:t>
            </w:r>
            <w:r>
              <w:rPr/>
              <w:t xml:space="preserve">, </w:t>
            </w:r>
            <w:r>
              <w:rPr/>
              <w:t>119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88.5</w:t>
            </w:r>
            <w:r>
              <w:rPr/>
              <w:t xml:space="preserve"> [</w:t>
            </w:r>
            <w:r>
              <w:rPr/>
              <w:t>62</w:t>
            </w:r>
            <w:r>
              <w:rPr/>
              <w:t xml:space="preserve">, </w:t>
            </w:r>
            <w:r>
              <w:rPr/>
              <w:t>118</w:t>
            </w:r>
            <w:r>
              <w:rPr/>
              <w:t>]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</w:t>
            </w:r>
            <w:r>
              <w:rPr/>
              <w:t xml:space="preserve"> [</w:t>
            </w:r>
            <w:r>
              <w:rPr/>
              <w:t>33</w:t>
            </w:r>
            <w:r>
              <w:rPr/>
              <w:t xml:space="preserve">, </w:t>
            </w:r>
            <w:r>
              <w:rPr/>
              <w:t>120</w:t>
            </w:r>
            <w:r>
              <w:rPr/>
              <w:t>]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isPM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no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yes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0</w:t>
            </w:r>
            <w:r>
              <w:rPr/>
              <w:t xml:space="preserve"> (</w:t>
            </w:r>
            <w:r>
              <w:rPr/>
              <w:t>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isfed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no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</w:t>
            </w:r>
            <w:r>
              <w:rPr/>
              <w:t xml:space="preserve"> (</w:t>
            </w:r>
            <w:r>
              <w:rPr/>
              <w:t>50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</w:t>
            </w:r>
            <w:r>
              <w:rPr/>
              <w:t xml:space="preserve"> (</w:t>
            </w:r>
            <w:r>
              <w:rPr/>
              <w:t>83.3</w:t>
            </w:r>
            <w:r>
              <w:rPr/>
              <w:t>%)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yes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</w:t>
            </w:r>
            <w:r>
              <w:rPr/>
              <w:t xml:space="preserve"> (</w:t>
            </w:r>
            <w:r>
              <w:rPr/>
              <w:t>50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  <w:r>
              <w:rPr/>
              <w:t xml:space="preserve"> (</w:t>
            </w:r>
            <w:r>
              <w:rPr/>
              <w:t>16.7</w:t>
            </w:r>
            <w:r>
              <w:rPr/>
              <w:t>%)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sex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female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  <w:r>
              <w:rPr/>
              <w:t xml:space="preserve"> (</w:t>
            </w:r>
            <w:r>
              <w:rPr/>
              <w:t>33.3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</w:t>
            </w:r>
            <w:r>
              <w:rPr/>
              <w:t xml:space="preserve"> (</w:t>
            </w:r>
            <w:r>
              <w:rPr/>
              <w:t>50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  <w:r>
              <w:rPr/>
              <w:t xml:space="preserve"> (</w:t>
            </w:r>
            <w:r>
              <w:rPr/>
              <w:t>16.7</w:t>
            </w:r>
            <w:r>
              <w:rPr/>
              <w:t>%)</w:t>
            </w: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male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12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  <w:r>
              <w:rPr/>
              <w:t xml:space="preserve"> (</w:t>
            </w:r>
            <w:r>
              <w:rPr/>
              <w:t>66.7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</w:t>
            </w:r>
            <w:r>
              <w:rPr/>
              <w:t xml:space="preserve"> (</w:t>
            </w:r>
            <w:r>
              <w:rPr/>
              <w:t>50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</w:t>
            </w:r>
            <w:r>
              <w:rPr/>
              <w:t xml:space="preserve"> (</w:t>
            </w:r>
            <w:r>
              <w:rPr/>
              <w:t>83.3</w:t>
            </w:r>
            <w:r>
              <w:rPr/>
              <w:t>%)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route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</w:tr>
      <w:tr>
        <w:trPr/>
        <w:tc>
          <w:tcPr>
            <w:tcMar>
              <w:start w:w="240"/>
            </w:tcMar>
            <w:vAlign w:val="top"/>
          </w:tcPr>
          <w:p>
            <w:pPr>
              <w:jc w:val="start"/>
            </w:pPr>
            <w:r>
              <w:rPr/>
              <w:t>ev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  <w:r>
              <w:rPr/>
              <w:t xml:space="preserve"> (</w:t>
            </w:r>
            <w:r>
              <w:rPr/>
              <w:t>100</w:t>
            </w:r>
            <w:r>
              <w:rPr/>
              <w:t>%)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Heading2"/>
      </w:pPr>
      <w:r>
        <w:rPr/>
        <w:t>Output plots</w:t>
      </w:r>
    </w:p>
    <w:p>
      <w:pPr>
        <w:jc w:val="center"/>
        <w:keepNext/>
      </w:pPr>
      <w:r>
        <w:rPr/>
        <w:drawing>
          <wp:inline>
            <wp:extent cx="5197774" cy="50400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7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77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cmax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066296" cy="504000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9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9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tmax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355548" cy="504000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1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4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auclast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192941" cy="5040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3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94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Dose Linearity Power Model cmax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355548" cy="504000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5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4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aucinf_obs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258824" cy="504000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7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2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Dose Linearity Power Model aucinf_obs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5136417" cy="504000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9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41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half_life vs. group</w:t>
      </w:r>
    </w:p>
    <w:p>
      <w:pPr/>
      <w:r>
        <w:rPr/>
        <w:br w:type="page"/>
      </w:r>
    </w:p>
    <w:p>
      <w:pPr>
        <w:jc w:val="center"/>
        <w:keepNext/>
      </w:pPr>
      <w:r>
        <w:rPr/>
        <w:drawing>
          <wp:inline>
            <wp:extent cx="6258824" cy="504000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1">
                      <a:extLst>
                        <a:ext uri="{28A0092B-C50C-407E-A947-70E740481C1C}"/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2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Caption"/>
        <w:jc w:val="center"/>
      </w:pPr>
      <w:r>
        <w:rPr/>
        <w:t>Dose Linearity Power Model auclast</w:t>
      </w:r>
    </w:p>
    <w:p>
      <w:pPr/>
      <w:r>
        <w:rPr/>
        <w:br w:type="page"/>
      </w:r>
    </w:p>
    <w:p>
      <w:pPr>
        <w:pStyle w:val="Heading2"/>
      </w:pPr>
      <w:r>
        <w:rPr/>
        <w:t>Output tables</w:t>
      </w:r>
    </w:p>
    <w:p>
      <w:pPr>
        <w:pStyle w:val="TableCaption"/>
        <w:jc w:val="center"/>
      </w:pPr>
      <w:r>
        <w:rPr/>
        <w:t>NCA parameter summary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Parameter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doselevel</w:t>
            </w: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tmax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cmax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auclast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half_life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aucinf_obs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3.17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8031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43.5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60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18870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68.5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46.5</w:t>
            </w:r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90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2.83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44354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Dose Linearity Ratio Test cmax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Ratio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Estimate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 CI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high CI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60 vs. 30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1.82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0.94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3.53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90 vs. 30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2.95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1.34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6.5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5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Dose Linearity Power Model auclast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4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Coefficient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4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α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81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12.9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508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β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0.843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1.76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4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Dose Linearity Power Model cmax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4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/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Coefficient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Lower 95%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>
                <w:b/>
              </w:rPr>
              <w:t>Upper 95%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4"/>
            <w:hideMark/>
          </w:tcPr>
          <w:p>
            <w:pPr/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α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11.6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1.23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109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start"/>
            </w:pPr>
            <w:r>
              <w:rPr/>
              <w:t>β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0.972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0.415</w:t>
            </w:r>
          </w:p>
        </w:tc>
        <w:tc>
          <w:tcPr>
            <w:tcMar/>
            <w:vAlign w:val="top"/>
          </w:tcPr>
          <w:p>
            <w:pPr>
              <w:jc w:val="end"/>
            </w:pPr>
            <w:r>
              <w:rPr/>
              <w:t>1.53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4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TableCaption"/>
        <w:jc w:val="center"/>
      </w:pPr>
      <w:r>
        <w:rPr/>
        <w:t>NCA parameter listing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5"/>
            <w:tcMar>
              <w:bottom w:w="40"/>
            </w:tcMar>
            <w:vAlign w:val="top"/>
          </w:tcPr>
          <w:p>
            <w:pPr>
              <w:jc w:val="center"/>
            </w:pPr>
            <w:r>
              <w:rPr>
                <w:b/>
              </w:rPr>
              <w:t>Parameter</w:t>
            </w:r>
          </w:p>
        </w:tc>
      </w:tr>
      <w:tr>
        <w:trPr>
          <w:tblHeader/>
        </w:trPr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doselevel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id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tmax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cmax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auclast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half_life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aucinf_obs</w:t>
            </w:r>
          </w:p>
        </w:tc>
      </w:tr>
      <w:tr>
        <w:trPr>
          <w:tblHeader/>
        </w:trPr>
        <w:tc>
          <w:tcPr>
            <w:tcBorders>
              <w:bottom w:val="single" w:color="auto" w:sz="4"/>
              <w:end w:val="none" w:color="auto" w:sz="4"/>
              <w:start w:val="none" w:color="auto" w:sz="4"/>
            </w:tcBorders>
            <w:gridSpan w:val="7"/>
            <w:hideMark/>
          </w:tcPr>
          <w:p>
            <w:pPr/>
          </w:p>
        </w:tc>
      </w:tr>
      <w:tr>
        <w:trPr/>
        <w:tc>
          <w:tcPr>
            <w:vMerge w:val="restart"/>
            <w:tcMar/>
            <w:vAlign w:val="top"/>
          </w:tcPr>
          <w:p>
            <w:pPr>
              <w:jc w:val="start"/>
            </w:pPr>
            <w:r>
              <w:rPr/>
              <w:t>30</w:t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201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4988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23.8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5601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6982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26.6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7825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5727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6696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4681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6039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961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16262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21.6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17611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296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7751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21.6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8593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3.17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8031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101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77.4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14.8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43.5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60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826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14332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18.5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15546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587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11526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32.3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14052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526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9414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25.4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10825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21040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51.8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33506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17156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21.2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18935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432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18438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53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30090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14762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18870</w:t>
            </w:r>
          </w:p>
        </w:tc>
      </w:tr>
      <w:tr>
        <w:trPr/>
        <w:tc>
          <w:tcPr>
            <w:tcMar>
              <w:bottom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68.5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31.1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47.1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46.5</w:t>
            </w:r>
          </w:p>
        </w:tc>
      </w:tr>
      <w:tr>
        <w:trPr/>
        <w:tc>
          <w:tcPr>
            <w:vMerge w:val="restart"/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90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/>
              <w:t>13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597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23600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79.5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47094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918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37021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47202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2232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48314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57126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16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700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29050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61.3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51880</w:t>
            </w:r>
          </w:p>
        </w:tc>
      </w:tr>
      <w:tr>
        <w:trPr/>
        <w:tc>
          <w:tcPr>
            <w:vMerge w:val="continue"/>
            <w:tcMar/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/>
              <w:t>17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1453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44495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75366</w:t>
            </w:r>
          </w:p>
        </w:tc>
      </w:tr>
      <w:tr>
        <w:trPr/>
        <w:tc>
          <w:tcPr>
            <w:vMerge w:val="continue"/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/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start"/>
            </w:pPr>
            <w:r>
              <w:rPr/>
              <w:t>18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4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611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13455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24.9</w:t>
            </w:r>
          </w:p>
        </w:tc>
        <w:tc>
          <w:tcPr>
            <w:tcMar>
              <w:bottom w:w="60"/>
            </w:tcMar>
            <w:vAlign w:val="top"/>
          </w:tcPr>
          <w:p>
            <w:pPr>
              <w:jc w:val="center"/>
            </w:pPr>
            <w:r>
              <w:rPr/>
              <w:t>15333</w:t>
            </w:r>
          </w:p>
        </w:tc>
      </w:tr>
      <w:tr>
        <w:trPr/>
        <w:tc>
          <w:tcPr>
            <w:tcMar>
              <w:top w:w="60"/>
            </w:tcMar>
            <w:vAlign w:val="top"/>
          </w:tcPr>
          <w:p>
            <w:pPr>
              <w:jc w:val="center"/>
            </w:pPr>
          </w:p>
        </w:tc>
        <w:tc>
          <w:tcPr>
            <w:tcMar>
              <w:top w:w="60"/>
            </w:tcMar>
            <w:vAlign w:val="top"/>
          </w:tcPr>
          <w:p>
            <w:pPr>
              <w:jc w:val="start"/>
            </w:pPr>
            <w:r>
              <w:rPr>
                <w:b/>
              </w:rPr>
              <w:t>N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  <w:tc>
          <w:tcPr>
            <w:tcMar>
              <w:top w:w="60"/>
            </w:tcMar>
            <w:vAlign w:val="top"/>
          </w:tcPr>
          <w:p>
            <w:pPr>
              <w:jc w:val="center"/>
            </w:pPr>
            <w:r>
              <w:rPr/>
              <w:t>6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GeoMean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2.83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955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30035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41.9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44354</w:t>
            </w:r>
          </w:p>
        </w:tc>
      </w:tr>
      <w:tr>
        <w:trPr/>
        <w:tc>
          <w:tcPr>
            <w:tcMar/>
            <w:vAlign w:val="top"/>
          </w:tcPr>
          <w:p>
            <w:pPr>
              <w:jc w:val="center"/>
            </w:pPr>
          </w:p>
        </w:tc>
        <w:tc>
          <w:tcPr>
            <w:tcMar/>
            <w:vAlign w:val="top"/>
          </w:tcPr>
          <w:p>
            <w:pPr>
              <w:jc w:val="start"/>
            </w:pPr>
            <w:r>
              <w:rPr>
                <w:b/>
              </w:rPr>
              <w:t>GeoCV%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39.4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57.2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50.3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54.4</w:t>
            </w:r>
          </w:p>
        </w:tc>
        <w:tc>
          <w:tcPr>
            <w:tcMar/>
            <w:vAlign w:val="top"/>
          </w:tcPr>
          <w:p>
            <w:pPr>
              <w:jc w:val="center"/>
            </w:pPr>
            <w:r>
              <w:rPr/>
              <w:t>59.3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7"/>
            <w:hideMark/>
          </w:tcPr>
          <w:p>
            <w:pPr/>
          </w:p>
        </w:tc>
      </w:tr>
    </w:tbl>
    <w:p>
      <w:pPr/>
      <w:r>
        <w:rPr/>
        <w:br w:type="page"/>
      </w:r>
    </w:p>
    <w:p>
      <w:pPr>
        <w:pStyle w:val="Heading1"/>
      </w:pPr>
      <w:r>
        <w:rPr/>
        <w:t>System Information</w:t>
      </w:r>
    </w:p>
    <w:p>
      <w:pPr>
        <w:pStyle w:val="TableCaption"/>
        <w:jc w:val="center"/>
      </w:pPr>
      <w:r>
        <w:rPr/>
        <w:t>System information</w:t>
      </w:r>
    </w:p>
    <w:tbl>
      <w:tblPr>
        <w:tblCellMar>
          <w:top w:w="0"/>
          <w:bottom w:w="0"/>
          <w:start w:w="30"/>
          <w:end w:w="30"/>
        </w:tblCellMar>
        <w:tblCellSpacing w:w="20"/>
        <w:jc w:val="center"/>
      </w:tblPr>
      <w:tr>
        <w:trPr>
          <w:tblHeader/>
        </w:trPr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2"/>
            <w:hideMark/>
          </w:tcPr>
          <w:p>
            <w:pPr/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Operating system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Linux (x86_64-linux-gnu)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CPU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Intel(R) Xeon(R) Platinum 8375C CPU @ 2.90GHz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Memory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58.3427734375 GB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Word size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64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Julia version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1.10.10</w:t>
            </w:r>
          </w:p>
        </w:tc>
      </w:tr>
      <w:tr>
        <w:trPr/>
        <w:tc>
          <w:tcPr>
            <w:tcMar>
              <w:end w:w="160"/>
            </w:tcMar>
            <w:vAlign w:val="top"/>
          </w:tcPr>
          <w:p>
            <w:pPr>
              <w:jc w:val="start"/>
            </w:pPr>
            <w:r>
              <w:rPr/>
              <w:t>PumasCP Version</w:t>
            </w:r>
          </w:p>
        </w:tc>
        <w:tc>
          <w:tcPr>
            <w:tcMar>
              <w:start w:w="160"/>
            </w:tcMar>
            <w:vAlign w:val="top"/>
          </w:tcPr>
          <w:p>
            <w:pPr>
              <w:jc w:val="end"/>
            </w:pPr>
            <w:r>
              <w:rPr/>
              <w:t>3.8.0</w:t>
            </w:r>
          </w:p>
        </w:tc>
      </w:tr>
      <w:tr>
        <w:trPr/>
        <w:tc>
          <w:tcPr>
            <w:tcBorders>
              <w:bottom w:val="single" w:color="auto" w:sz="8"/>
              <w:end w:val="none" w:color="auto" w:sz="8"/>
              <w:start w:val="none" w:color="auto" w:sz="8"/>
            </w:tcBorders>
            <w:gridSpan w:val="2"/>
            <w:hideMark/>
          </w:tcPr>
          <w:p>
            <w:pPr/>
          </w:p>
        </w:tc>
      </w:tr>
    </w:tbl>
    <w:sectPr>
      <w:pgSz w:h="11906" w:w="16838" w:orient="landscape"/>
      <w:footerReference r:id="rId63" w:type="default"/>
    </w:sectPr>
  </w:body>
</w:document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>
  <w:p>
    <w:pPr>
      <w:jc w:val="center"/>
    </w:pPr>
    <w:r>
      <w:rPr/>
      <w:drawing>
        <wp:inline>
          <wp:extent cx="1143000" cy="389217"/>
          <wp:docPr id="1" name="Picture 1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89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>
  <w:p>
    <w:pPr>
      <w:jc w:val="end"/>
    </w:pPr>
    <w:fldSimple w:instr="PAGE"/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>
  <w:p>
    <w:pPr>
      <w:jc w:val="end"/>
    </w:pPr>
    <w:fldSimple w:instr="PAGE"/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>
  <w:p>
    <w:pPr>
      <w:jc w:val="end"/>
    </w:pPr>
    <w:fldSimple w:instr="PAGE"/>
  </w:p>
</w:ftr>
</file>

<file path=word/styles.xml><?xml version="1.0" encoding="utf-8"?>
<w:styles xmlns:w="http://schemas.openxmlformats.org/wordprocessingml/2006/main">
  <w:docDefaults>
    <w:rPrDefault/>
    <w:pPrDefault/>
  </w:docDefaults>
  <w:style w:type="paragraph" w:styleId="FigureCaption">
    <w:pPr/>
    <w:name w:val="Figure Caption"/>
    <w:qFormat/>
    <w:basedOn w:val="Normal"/>
  </w:style>
  <w:style w:type="paragraph" w:styleId="TableCaption">
    <w:pPr>
      <w:spacing w:after="120"/>
    </w:pPr>
    <w:name w:val="Table Caption"/>
    <w:qFormat/>
    <w:basedOn w:val="Normal"/>
  </w:style>
  <w:style w:type="paragraph" w:styleId="TOCHeading">
    <w:pPr>
      <w:rPr>
        <w:sz w:val="40"/>
      </w:rPr>
      <w:spacing w:before="240" w:after="200"/>
    </w:pPr>
    <w:name w:val="TOC Heading"/>
    <w:qFormat/>
    <w:basedOn w:val="Normal"/>
  </w:style>
  <w:style w:type="paragraph" w:styleId="CodeCell">
    <w:pPr>
      <w:rPr>
        <w:rFonts w:ascii="Consolas" w:hAnsi="Consolas"/>
      </w:rPr>
      <w:spacing w:before="120" w:after="120"/>
      <w:pBdr>
        <w:left w:val="single" w:sz="8"/>
        <w:top w:val="single" w:sz="8"/>
        <w:right w:val="single" w:sz="8"/>
        <w:bottom w:val="single" w:sz="8"/>
      </w:pBdr>
      <w:shd w:val="clear" w:color="auto" w:fill="F8F8F8"/>
    </w:pPr>
    <w:name w:val="Code Cell"/>
    <w:link w:val="CodeCellChar"/>
    <w:qFormat/>
    <w:basedOn w:val="Normal"/>
  </w:style>
  <w:style w:type="character" w:styleId="CodeCellChar">
    <w:rPr>
      <w:rFonts w:ascii="Consolas" w:hAnsi="Consolas"/>
    </w:rPr>
    <w:name w:val="Code Cell"/>
    <w:link w:val="CodeCell"/>
    <w:qFormat/>
    <w:basedOn w:val="Normal"/>
  </w:style>
  <w:style w:type="paragraph" w:styleId="Normal">
    <w:pPr>
      <w:rPr>
        <w:sz w:val="20"/>
        <w:rFonts w:ascii="Arial" w:hAnsi="Arial"/>
      </w:rPr>
    </w:pPr>
    <w:name w:val="Normal"/>
    <w:link w:val="NormalChar"/>
    <w:qFormat/>
    <w:basedOn w:val="Normal"/>
  </w:style>
  <w:style w:type="character" w:styleId="NormalChar">
    <w:rPr>
      <w:sz w:val="20"/>
      <w:rFonts w:ascii="Arial" w:hAnsi="Arial"/>
    </w:rPr>
    <w:name w:val="Normal"/>
    <w:link w:val="Normal"/>
    <w:qFormat/>
    <w:basedOn w:val="Normal"/>
  </w:style>
  <w:style w:type="paragraph" w:styleId="Heading1">
    <w:pPr>
      <w:rPr>
        <w:sz w:val="40"/>
      </w:rPr>
      <w:spacing w:before="240" w:after="200"/>
    </w:pPr>
    <w:name w:val="Heading 1"/>
    <w:link w:val="Heading1Char"/>
    <w:qFormat/>
    <w:basedOn w:val="Normal"/>
  </w:style>
  <w:style w:type="character" w:styleId="Heading1Char">
    <w:rPr/>
    <w:name w:val="Heading 1"/>
    <w:link w:val="Heading1"/>
    <w:qFormat/>
    <w:basedOn w:val="Normal"/>
  </w:style>
  <w:style w:type="paragraph" w:styleId="Heading2">
    <w:pPr>
      <w:rPr>
        <w:sz w:val="32"/>
      </w:rPr>
      <w:spacing w:before="200" w:after="160"/>
    </w:pPr>
    <w:name w:val="Heading 2"/>
    <w:link w:val="Heading2Char"/>
    <w:qFormat/>
    <w:basedOn w:val="Normal"/>
  </w:style>
  <w:style w:type="character" w:styleId="Heading2Char">
    <w:rPr/>
    <w:name w:val="Heading 2"/>
    <w:link w:val="Heading2"/>
    <w:qFormat/>
    <w:basedOn w:val="Normal"/>
  </w:style>
  <w:style w:type="paragraph" w:styleId="Heading3">
    <w:pPr>
      <w:rPr>
        <w:sz w:val="28"/>
      </w:rPr>
      <w:spacing w:before="160" w:after="120"/>
    </w:pPr>
    <w:name w:val="Heading 3"/>
    <w:link w:val="Heading3Char"/>
    <w:qFormat/>
    <w:basedOn w:val="Normal"/>
  </w:style>
  <w:style w:type="character" w:styleId="Heading3Char">
    <w:rPr/>
    <w:name w:val="Heading 3"/>
    <w:link w:val="Heading3"/>
    <w:qFormat/>
    <w:basedOn w:val="Normal"/>
  </w:style>
  <w:style w:type="paragraph" w:styleId="Heading4">
    <w:pPr>
      <w:rPr>
        <w:sz w:val="24"/>
      </w:rPr>
      <w:spacing w:before="120" w:after="80"/>
    </w:pPr>
    <w:name w:val="Heading 4"/>
    <w:link w:val="Heading4Char"/>
    <w:qFormat/>
    <w:basedOn w:val="Normal"/>
  </w:style>
  <w:style w:type="character" w:styleId="Heading4Char">
    <w:rPr/>
    <w:name w:val="Heading 4"/>
    <w:link w:val="Heading4"/>
    <w:qFormat/>
    <w:basedOn w:val="Normal"/>
  </w:style>
  <w:style w:type="paragraph" w:styleId="Heading5">
    <w:pPr>
      <w:rPr>
        <w:sz w:val="22"/>
        <w:i/>
      </w:rPr>
      <w:spacing w:before="120" w:after="80"/>
    </w:pPr>
    <w:name w:val="Heading 5"/>
    <w:link w:val="Heading5Char"/>
    <w:qFormat/>
    <w:basedOn w:val="Normal"/>
  </w:style>
  <w:style w:type="character" w:styleId="Heading5Char">
    <w:rPr/>
    <w:name w:val="Heading 5"/>
    <w:link w:val="Heading5"/>
    <w:qFormat/>
    <w:basedOn w:val="Normal"/>
  </w:style>
  <w:style w:type="paragraph" w:styleId="Heading6">
    <w:pPr>
      <w:rPr>
        <w:sz w:val="20"/>
        <w:i/>
      </w:rPr>
      <w:spacing w:before="120" w:after="80"/>
    </w:pPr>
    <w:name w:val="Heading 6"/>
    <w:link w:val="Heading6Char"/>
    <w:qFormat/>
    <w:basedOn w:val="Normal"/>
  </w:style>
  <w:style w:type="character" w:styleId="Heading6Char">
    <w:rPr/>
    <w:name w:val="Heading 6"/>
    <w:link w:val="Heading6"/>
    <w:qFormat/>
    <w:basedOn w:val="Normal"/>
  </w:style>
  <w:latentStyles/>
</w:styles>
</file>

<file path=word/_rels/document.xml.rels><?xml version="1.0" encoding="UTF-8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footer" Target="footer2.xml"/>
  <Relationship Id="rId3" Type="http://schemas.openxmlformats.org/officeDocument/2006/relationships/footer" Target="footer3.xml"/>
  <Relationship Id="rId4" Type="http://schemas.openxmlformats.org/officeDocument/2006/relationships/image" Target="media/image_4.png"/>
  <Relationship Id="rId5" Type="http://schemas.openxmlformats.org/officeDocument/2006/relationships/image" Target="media/image_5.svg"/>
  <Relationship Id="rId6" Type="http://schemas.openxmlformats.org/officeDocument/2006/relationships/image" Target="media/image_6.png"/>
  <Relationship Id="rId7" Type="http://schemas.openxmlformats.org/officeDocument/2006/relationships/image" Target="media/image_7.svg"/>
  <Relationship Id="rId8" Type="http://schemas.openxmlformats.org/officeDocument/2006/relationships/image" Target="media/image_8.png"/>
  <Relationship Id="rId9" Type="http://schemas.openxmlformats.org/officeDocument/2006/relationships/image" Target="media/image_9.svg"/>
  <Relationship Id="rId10" Type="http://schemas.openxmlformats.org/officeDocument/2006/relationships/image" Target="media/image_10.png"/>
  <Relationship Id="rId11" Type="http://schemas.openxmlformats.org/officeDocument/2006/relationships/image" Target="media/image_11.svg"/>
  <Relationship Id="rId12" Type="http://schemas.openxmlformats.org/officeDocument/2006/relationships/image" Target="media/image_12.png"/>
  <Relationship Id="rId13" Type="http://schemas.openxmlformats.org/officeDocument/2006/relationships/image" Target="media/image_13.svg"/>
  <Relationship Id="rId14" Type="http://schemas.openxmlformats.org/officeDocument/2006/relationships/image" Target="media/image_14.png"/>
  <Relationship Id="rId15" Type="http://schemas.openxmlformats.org/officeDocument/2006/relationships/image" Target="media/image_15.svg"/>
  <Relationship Id="rId16" Type="http://schemas.openxmlformats.org/officeDocument/2006/relationships/image" Target="media/image_16.png"/>
  <Relationship Id="rId17" Type="http://schemas.openxmlformats.org/officeDocument/2006/relationships/image" Target="media/image_17.svg"/>
  <Relationship Id="rId18" Type="http://schemas.openxmlformats.org/officeDocument/2006/relationships/image" Target="media/image_18.png"/>
  <Relationship Id="rId19" Type="http://schemas.openxmlformats.org/officeDocument/2006/relationships/image" Target="media/image_19.svg"/>
  <Relationship Id="rId20" Type="http://schemas.openxmlformats.org/officeDocument/2006/relationships/image" Target="media/image_20.png"/>
  <Relationship Id="rId21" Type="http://schemas.openxmlformats.org/officeDocument/2006/relationships/image" Target="media/image_21.svg"/>
  <Relationship Id="rId22" Type="http://schemas.openxmlformats.org/officeDocument/2006/relationships/image" Target="media/image_22.png"/>
  <Relationship Id="rId23" Type="http://schemas.openxmlformats.org/officeDocument/2006/relationships/image" Target="media/image_23.svg"/>
  <Relationship Id="rId24" Type="http://schemas.openxmlformats.org/officeDocument/2006/relationships/image" Target="media/image_24.png"/>
  <Relationship Id="rId25" Type="http://schemas.openxmlformats.org/officeDocument/2006/relationships/image" Target="media/image_25.svg"/>
  <Relationship Id="rId26" Type="http://schemas.openxmlformats.org/officeDocument/2006/relationships/image" Target="media/image_26.png"/>
  <Relationship Id="rId27" Type="http://schemas.openxmlformats.org/officeDocument/2006/relationships/image" Target="media/image_27.svg"/>
  <Relationship Id="rId28" Type="http://schemas.openxmlformats.org/officeDocument/2006/relationships/image" Target="media/image_28.png"/>
  <Relationship Id="rId29" Type="http://schemas.openxmlformats.org/officeDocument/2006/relationships/image" Target="media/image_29.svg"/>
  <Relationship Id="rId30" Type="http://schemas.openxmlformats.org/officeDocument/2006/relationships/image" Target="media/image_30.png"/>
  <Relationship Id="rId31" Type="http://schemas.openxmlformats.org/officeDocument/2006/relationships/image" Target="media/image_31.svg"/>
  <Relationship Id="rId32" Type="http://schemas.openxmlformats.org/officeDocument/2006/relationships/image" Target="media/image_32.png"/>
  <Relationship Id="rId33" Type="http://schemas.openxmlformats.org/officeDocument/2006/relationships/image" Target="media/image_33.svg"/>
  <Relationship Id="rId34" Type="http://schemas.openxmlformats.org/officeDocument/2006/relationships/image" Target="media/image_34.png"/>
  <Relationship Id="rId35" Type="http://schemas.openxmlformats.org/officeDocument/2006/relationships/image" Target="media/image_35.svg"/>
  <Relationship Id="rId36" Type="http://schemas.openxmlformats.org/officeDocument/2006/relationships/footer" Target="footer36.xml"/>
  <Relationship Id="rId37" Type="http://schemas.openxmlformats.org/officeDocument/2006/relationships/image" Target="media/image_37.png"/>
  <Relationship Id="rId38" Type="http://schemas.openxmlformats.org/officeDocument/2006/relationships/image" Target="media/image_38.svg"/>
  <Relationship Id="rId39" Type="http://schemas.openxmlformats.org/officeDocument/2006/relationships/image" Target="media/image_39.png"/>
  <Relationship Id="rId40" Type="http://schemas.openxmlformats.org/officeDocument/2006/relationships/image" Target="media/image_40.svg"/>
  <Relationship Id="rId41" Type="http://schemas.openxmlformats.org/officeDocument/2006/relationships/image" Target="media/image_41.png"/>
  <Relationship Id="rId42" Type="http://schemas.openxmlformats.org/officeDocument/2006/relationships/image" Target="media/image_42.svg"/>
  <Relationship Id="rId43" Type="http://schemas.openxmlformats.org/officeDocument/2006/relationships/image" Target="media/image_43.png"/>
  <Relationship Id="rId44" Type="http://schemas.openxmlformats.org/officeDocument/2006/relationships/image" Target="media/image_44.svg"/>
  <Relationship Id="rId45" Type="http://schemas.openxmlformats.org/officeDocument/2006/relationships/image" Target="media/image_45.png"/>
  <Relationship Id="rId46" Type="http://schemas.openxmlformats.org/officeDocument/2006/relationships/image" Target="media/image_46.svg"/>
  <Relationship Id="rId47" Type="http://schemas.openxmlformats.org/officeDocument/2006/relationships/image" Target="media/image_47.png"/>
  <Relationship Id="rId48" Type="http://schemas.openxmlformats.org/officeDocument/2006/relationships/image" Target="media/image_48.svg"/>
  <Relationship Id="rId49" Type="http://schemas.openxmlformats.org/officeDocument/2006/relationships/image" Target="media/image_49.png"/>
  <Relationship Id="rId50" Type="http://schemas.openxmlformats.org/officeDocument/2006/relationships/image" Target="media/image_50.svg"/>
  <Relationship Id="rId51" Type="http://schemas.openxmlformats.org/officeDocument/2006/relationships/image" Target="media/image_51.png"/>
  <Relationship Id="rId52" Type="http://schemas.openxmlformats.org/officeDocument/2006/relationships/image" Target="media/image_52.svg"/>
  <Relationship Id="rId53" Type="http://schemas.openxmlformats.org/officeDocument/2006/relationships/image" Target="media/image_53.png"/>
  <Relationship Id="rId54" Type="http://schemas.openxmlformats.org/officeDocument/2006/relationships/image" Target="media/image_54.svg"/>
  <Relationship Id="rId55" Type="http://schemas.openxmlformats.org/officeDocument/2006/relationships/image" Target="media/image_55.png"/>
  <Relationship Id="rId56" Type="http://schemas.openxmlformats.org/officeDocument/2006/relationships/image" Target="media/image_56.svg"/>
  <Relationship Id="rId57" Type="http://schemas.openxmlformats.org/officeDocument/2006/relationships/image" Target="media/image_57.png"/>
  <Relationship Id="rId58" Type="http://schemas.openxmlformats.org/officeDocument/2006/relationships/image" Target="media/image_58.svg"/>
  <Relationship Id="rId59" Type="http://schemas.openxmlformats.org/officeDocument/2006/relationships/image" Target="media/image_59.png"/>
  <Relationship Id="rId60" Type="http://schemas.openxmlformats.org/officeDocument/2006/relationships/image" Target="media/image_60.svg"/>
  <Relationship Id="rId61" Type="http://schemas.openxmlformats.org/officeDocument/2006/relationships/image" Target="media/image_61.png"/>
  <Relationship Id="rId62" Type="http://schemas.openxmlformats.org/officeDocument/2006/relationships/image" Target="media/image_62.svg"/>
  <Relationship Id="rId63" Type="http://schemas.openxmlformats.org/officeDocument/2006/relationships/footer" Target="footer63.xml"/>
</Relationships>

</file>

<file path=word/_rels/footer2.xml.rels><?xml version="1.0" encoding="UTF-8"?>
<Relationships xmlns="http://schemas.openxmlformats.org/package/2006/relationships">
  <Relationship Id="rId1" Type="http://schemas.openxmlformats.org/officeDocument/2006/relationships/image" Target="media/footer2_image_1.png"/>
</Relationships>

</file>